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70CD" w14:textId="77777777" w:rsidR="000103D8" w:rsidRDefault="00FA71BE">
      <w:pPr>
        <w:spacing w:after="0" w:line="240" w:lineRule="auto"/>
        <w:jc w:val="center"/>
        <w:rPr>
          <w:sz w:val="26"/>
          <w:szCs w:val="26"/>
        </w:rPr>
      </w:pPr>
      <w:bookmarkStart w:id="0" w:name="_GoBack"/>
      <w:bookmarkEnd w:id="0"/>
      <w:r>
        <w:rPr>
          <w:sz w:val="26"/>
          <w:szCs w:val="26"/>
        </w:rPr>
        <w:t xml:space="preserve"> </w:t>
      </w:r>
      <w:r>
        <w:rPr>
          <w:b/>
          <w:sz w:val="26"/>
          <w:szCs w:val="26"/>
        </w:rPr>
        <w:t xml:space="preserve">29th Annual Conference of the Network for Social Work Management </w:t>
      </w:r>
    </w:p>
    <w:p w14:paraId="26EF4336" w14:textId="77777777" w:rsidR="000103D8" w:rsidRDefault="00FA71BE">
      <w:pPr>
        <w:spacing w:after="0" w:line="240" w:lineRule="auto"/>
        <w:jc w:val="center"/>
        <w:rPr>
          <w:sz w:val="26"/>
          <w:szCs w:val="26"/>
        </w:rPr>
      </w:pPr>
      <w:r>
        <w:rPr>
          <w:b/>
          <w:sz w:val="26"/>
          <w:szCs w:val="26"/>
        </w:rPr>
        <w:t xml:space="preserve">June 14 &amp; 15, 2018 </w:t>
      </w:r>
    </w:p>
    <w:p w14:paraId="43F2472F" w14:textId="77777777" w:rsidR="000103D8" w:rsidRDefault="00FA71BE">
      <w:pPr>
        <w:spacing w:after="0" w:line="240" w:lineRule="auto"/>
        <w:jc w:val="center"/>
        <w:rPr>
          <w:b/>
          <w:sz w:val="26"/>
          <w:szCs w:val="26"/>
        </w:rPr>
      </w:pPr>
      <w:r>
        <w:rPr>
          <w:b/>
          <w:sz w:val="26"/>
          <w:szCs w:val="26"/>
        </w:rPr>
        <w:t>San Diego, California 92182</w:t>
      </w:r>
    </w:p>
    <w:p w14:paraId="40A1A460" w14:textId="77777777" w:rsidR="000103D8" w:rsidRDefault="00FA71BE">
      <w:pPr>
        <w:spacing w:after="0" w:line="240" w:lineRule="auto"/>
        <w:jc w:val="center"/>
        <w:rPr>
          <w:b/>
          <w:sz w:val="26"/>
          <w:szCs w:val="26"/>
        </w:rPr>
      </w:pPr>
      <w:r>
        <w:rPr>
          <w:b/>
          <w:sz w:val="26"/>
          <w:szCs w:val="26"/>
        </w:rPr>
        <w:t>San Diego State University, School of Social Work</w:t>
      </w:r>
    </w:p>
    <w:p w14:paraId="142BC999" w14:textId="77777777" w:rsidR="000103D8" w:rsidRDefault="000103D8">
      <w:pPr>
        <w:spacing w:after="0" w:line="240" w:lineRule="auto"/>
        <w:rPr>
          <w:sz w:val="26"/>
          <w:szCs w:val="26"/>
        </w:rPr>
      </w:pPr>
    </w:p>
    <w:p w14:paraId="6EE1BA70" w14:textId="77777777" w:rsidR="000103D8" w:rsidRDefault="00FA71BE">
      <w:pPr>
        <w:spacing w:after="0" w:line="240" w:lineRule="auto"/>
        <w:jc w:val="center"/>
        <w:rPr>
          <w:sz w:val="28"/>
          <w:szCs w:val="28"/>
          <w:u w:val="single"/>
        </w:rPr>
      </w:pPr>
      <w:r>
        <w:rPr>
          <w:b/>
          <w:sz w:val="28"/>
          <w:szCs w:val="28"/>
          <w:u w:val="single"/>
        </w:rPr>
        <w:t>CALL FOR PROPOSALS</w:t>
      </w:r>
    </w:p>
    <w:p w14:paraId="64BA3BF1" w14:textId="77777777" w:rsidR="000103D8" w:rsidRDefault="000103D8">
      <w:pPr>
        <w:spacing w:after="0" w:line="240" w:lineRule="auto"/>
        <w:rPr>
          <w:sz w:val="26"/>
          <w:szCs w:val="26"/>
          <w:highlight w:val="yellow"/>
        </w:rPr>
      </w:pPr>
    </w:p>
    <w:p w14:paraId="579A840F" w14:textId="17514679" w:rsidR="000103D8" w:rsidRDefault="00FA71BE" w:rsidP="00CF5FA5">
      <w:pPr>
        <w:spacing w:after="0" w:line="240" w:lineRule="auto"/>
        <w:jc w:val="center"/>
        <w:rPr>
          <w:sz w:val="32"/>
          <w:szCs w:val="32"/>
        </w:rPr>
      </w:pPr>
      <w:r>
        <w:rPr>
          <w:b/>
          <w:sz w:val="28"/>
          <w:szCs w:val="28"/>
        </w:rPr>
        <w:t xml:space="preserve">This year's theme is </w:t>
      </w:r>
      <w:r>
        <w:rPr>
          <w:b/>
          <w:i/>
          <w:sz w:val="32"/>
          <w:szCs w:val="32"/>
          <w:highlight w:val="white"/>
        </w:rPr>
        <w:t>Disruptive Leadership: Maximizing Inclusion, Invention, and Innovation in Human Services</w:t>
      </w:r>
    </w:p>
    <w:p w14:paraId="5DC928C9" w14:textId="77777777" w:rsidR="000103D8" w:rsidRDefault="000103D8">
      <w:pPr>
        <w:spacing w:after="0" w:line="240" w:lineRule="auto"/>
        <w:rPr>
          <w:sz w:val="26"/>
          <w:szCs w:val="26"/>
        </w:rPr>
      </w:pPr>
    </w:p>
    <w:p w14:paraId="092E9219" w14:textId="77777777" w:rsidR="000103D8" w:rsidRDefault="00FA71BE">
      <w:pPr>
        <w:spacing w:after="0" w:line="240" w:lineRule="auto"/>
        <w:rPr>
          <w:sz w:val="26"/>
          <w:szCs w:val="26"/>
        </w:rPr>
      </w:pPr>
      <w:r>
        <w:rPr>
          <w:sz w:val="26"/>
          <w:szCs w:val="26"/>
        </w:rPr>
        <w:t xml:space="preserve">“Disruptive leadership” is an approach to management that entails new ways of thinking, creative problem-solving, and utilizing innovative techniques to approach major issues in unprecedented ways. It involves building products, markets, and networks that jolt the status quo. In an increasingly competitive environment, human services leaders stand to benefit from generating and investing in groundbreaking ideas. </w:t>
      </w:r>
    </w:p>
    <w:p w14:paraId="5AA76BD9" w14:textId="77777777" w:rsidR="000103D8" w:rsidRDefault="000103D8">
      <w:pPr>
        <w:spacing w:after="0" w:line="240" w:lineRule="auto"/>
        <w:rPr>
          <w:sz w:val="26"/>
          <w:szCs w:val="26"/>
        </w:rPr>
      </w:pPr>
    </w:p>
    <w:p w14:paraId="63E14875" w14:textId="77777777" w:rsidR="000103D8" w:rsidRDefault="00FA71BE">
      <w:pPr>
        <w:spacing w:after="0" w:line="240" w:lineRule="auto"/>
        <w:rPr>
          <w:sz w:val="26"/>
          <w:szCs w:val="26"/>
        </w:rPr>
      </w:pPr>
      <w:r>
        <w:rPr>
          <w:sz w:val="26"/>
          <w:szCs w:val="26"/>
        </w:rPr>
        <w:t xml:space="preserve">Through disruptive leadership, human services managers can maximize inclusion by consciously elevating voices that have often been unheard, diversifying perspectives in human services management. A disruptive leader seeks solutions outside of the norm, presents new ideas, and broadens the reach and scope of agencies and programs. Disruptive leadership, through inclusion, invention, and innovation, drives greater impact, outcomes, and overall quality of services. </w:t>
      </w:r>
    </w:p>
    <w:p w14:paraId="54A5AE88" w14:textId="77777777" w:rsidR="000103D8" w:rsidRDefault="000103D8">
      <w:pPr>
        <w:spacing w:after="0" w:line="240" w:lineRule="auto"/>
        <w:rPr>
          <w:b/>
          <w:sz w:val="26"/>
          <w:szCs w:val="26"/>
        </w:rPr>
      </w:pPr>
    </w:p>
    <w:p w14:paraId="7325852C" w14:textId="77777777" w:rsidR="000103D8" w:rsidRDefault="00FA71BE">
      <w:pPr>
        <w:spacing w:after="0" w:line="240" w:lineRule="auto"/>
        <w:rPr>
          <w:b/>
          <w:sz w:val="26"/>
          <w:szCs w:val="26"/>
        </w:rPr>
      </w:pPr>
      <w:r>
        <w:rPr>
          <w:b/>
          <w:sz w:val="26"/>
          <w:szCs w:val="26"/>
        </w:rPr>
        <w:t>Proposal Review Criteria</w:t>
      </w:r>
    </w:p>
    <w:p w14:paraId="0172ED29" w14:textId="77777777" w:rsidR="000103D8" w:rsidRDefault="000103D8">
      <w:pPr>
        <w:spacing w:after="0" w:line="240" w:lineRule="auto"/>
        <w:rPr>
          <w:b/>
          <w:sz w:val="26"/>
          <w:szCs w:val="26"/>
        </w:rPr>
      </w:pPr>
    </w:p>
    <w:p w14:paraId="31010142" w14:textId="3D215A51" w:rsidR="000103D8" w:rsidRDefault="00FA71BE">
      <w:pPr>
        <w:spacing w:after="0" w:line="240" w:lineRule="auto"/>
        <w:rPr>
          <w:sz w:val="26"/>
          <w:szCs w:val="26"/>
        </w:rPr>
      </w:pPr>
      <w:r>
        <w:rPr>
          <w:b/>
          <w:sz w:val="26"/>
          <w:szCs w:val="26"/>
        </w:rPr>
        <w:t xml:space="preserve">Workshops, Panels, Papers, and Poster proposals will be assessed based on </w:t>
      </w:r>
      <w:r w:rsidR="004357C4">
        <w:rPr>
          <w:b/>
          <w:sz w:val="26"/>
          <w:szCs w:val="26"/>
        </w:rPr>
        <w:t>their relevance</w:t>
      </w:r>
      <w:r>
        <w:rPr>
          <w:b/>
          <w:sz w:val="26"/>
          <w:szCs w:val="26"/>
        </w:rPr>
        <w:t xml:space="preserve"> to the conference theme and human services management practice, contributions to the knowledge base, and strength of evidence (e.g., theory, single case, multiple cases, time series designs, control or comparison groups, </w:t>
      </w:r>
      <w:r w:rsidR="004357C4">
        <w:rPr>
          <w:b/>
          <w:sz w:val="26"/>
          <w:szCs w:val="26"/>
        </w:rPr>
        <w:t>and statistical</w:t>
      </w:r>
      <w:r>
        <w:rPr>
          <w:b/>
          <w:sz w:val="26"/>
          <w:szCs w:val="26"/>
        </w:rPr>
        <w:t xml:space="preserve"> significance). </w:t>
      </w:r>
      <w:r>
        <w:rPr>
          <w:sz w:val="26"/>
          <w:szCs w:val="26"/>
        </w:rPr>
        <w:t>Proposals will also be assessed based on the extent to which they can help ensure social workers and human service professionals drive greater impact, promote conscious efforts related to diversity and inclusion, and encourage innovations in products, markets, and values networks. Additionally, presentations should address at least one of the conference sub-themes highlighting the domains of The Network for Social Work Management’s human services management competencies summarized below.</w:t>
      </w:r>
    </w:p>
    <w:p w14:paraId="0E99FFC5" w14:textId="77777777" w:rsidR="000103D8" w:rsidRDefault="000103D8">
      <w:pPr>
        <w:spacing w:after="0" w:line="240" w:lineRule="auto"/>
        <w:rPr>
          <w:sz w:val="26"/>
          <w:szCs w:val="26"/>
        </w:rPr>
      </w:pPr>
    </w:p>
    <w:p w14:paraId="44F5EFC9" w14:textId="77777777" w:rsidR="000103D8" w:rsidRDefault="000103D8">
      <w:pPr>
        <w:spacing w:after="0" w:line="240" w:lineRule="auto"/>
        <w:rPr>
          <w:sz w:val="26"/>
          <w:szCs w:val="26"/>
        </w:rPr>
      </w:pPr>
    </w:p>
    <w:p w14:paraId="29FCD198" w14:textId="77777777" w:rsidR="000103D8" w:rsidRDefault="000103D8">
      <w:pPr>
        <w:spacing w:after="0" w:line="240" w:lineRule="auto"/>
        <w:rPr>
          <w:sz w:val="26"/>
          <w:szCs w:val="26"/>
        </w:rPr>
      </w:pPr>
    </w:p>
    <w:p w14:paraId="63016EA9" w14:textId="77777777" w:rsidR="000103D8" w:rsidRDefault="000103D8">
      <w:pPr>
        <w:spacing w:after="0" w:line="240" w:lineRule="auto"/>
        <w:rPr>
          <w:rFonts w:ascii="Arial" w:eastAsia="Arial" w:hAnsi="Arial" w:cs="Arial"/>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103D8" w14:paraId="743A00CC" w14:textId="77777777">
        <w:tc>
          <w:tcPr>
            <w:tcW w:w="4680" w:type="dxa"/>
            <w:tcBorders>
              <w:top w:val="single" w:sz="18" w:space="0" w:color="000000"/>
              <w:left w:val="single" w:sz="18" w:space="0" w:color="000000"/>
              <w:bottom w:val="single" w:sz="18" w:space="0" w:color="000000"/>
              <w:right w:val="single" w:sz="18" w:space="0" w:color="000000"/>
            </w:tcBorders>
            <w:shd w:val="clear" w:color="auto" w:fill="D9D2E9"/>
            <w:tcMar>
              <w:top w:w="100" w:type="dxa"/>
              <w:left w:w="100" w:type="dxa"/>
              <w:bottom w:w="100" w:type="dxa"/>
              <w:right w:w="100" w:type="dxa"/>
            </w:tcMar>
          </w:tcPr>
          <w:p w14:paraId="48FF3D4F" w14:textId="77777777" w:rsidR="000103D8" w:rsidRDefault="00FA71BE">
            <w:pPr>
              <w:numPr>
                <w:ilvl w:val="0"/>
                <w:numId w:val="5"/>
              </w:numPr>
              <w:spacing w:line="240" w:lineRule="auto"/>
              <w:rPr>
                <w:b/>
                <w:sz w:val="26"/>
                <w:szCs w:val="26"/>
              </w:rPr>
            </w:pPr>
            <w:r>
              <w:rPr>
                <w:b/>
                <w:sz w:val="26"/>
                <w:szCs w:val="26"/>
              </w:rPr>
              <w:t>EXECUTIVE LEADERSHIP</w:t>
            </w:r>
          </w:p>
          <w:p w14:paraId="02DFD978" w14:textId="77777777" w:rsidR="000103D8" w:rsidRDefault="00FA71BE">
            <w:pPr>
              <w:numPr>
                <w:ilvl w:val="0"/>
                <w:numId w:val="3"/>
              </w:numPr>
              <w:spacing w:after="0" w:line="240" w:lineRule="auto"/>
              <w:contextualSpacing/>
              <w:rPr>
                <w:sz w:val="26"/>
                <w:szCs w:val="26"/>
              </w:rPr>
            </w:pPr>
            <w:r>
              <w:rPr>
                <w:sz w:val="26"/>
                <w:szCs w:val="26"/>
              </w:rPr>
              <w:t>Interpersonal skills</w:t>
            </w:r>
          </w:p>
          <w:p w14:paraId="60A674EF" w14:textId="77777777" w:rsidR="000103D8" w:rsidRDefault="00FA71BE">
            <w:pPr>
              <w:numPr>
                <w:ilvl w:val="0"/>
                <w:numId w:val="3"/>
              </w:numPr>
              <w:spacing w:after="0" w:line="240" w:lineRule="auto"/>
              <w:contextualSpacing/>
              <w:rPr>
                <w:sz w:val="26"/>
                <w:szCs w:val="26"/>
              </w:rPr>
            </w:pPr>
            <w:r>
              <w:rPr>
                <w:sz w:val="26"/>
                <w:szCs w:val="26"/>
              </w:rPr>
              <w:t>Analytical and critical thinking skills</w:t>
            </w:r>
          </w:p>
          <w:p w14:paraId="6CE0D256" w14:textId="77777777" w:rsidR="000103D8" w:rsidRDefault="00FA71BE">
            <w:pPr>
              <w:numPr>
                <w:ilvl w:val="0"/>
                <w:numId w:val="3"/>
              </w:numPr>
              <w:spacing w:after="0" w:line="240" w:lineRule="auto"/>
              <w:contextualSpacing/>
              <w:rPr>
                <w:sz w:val="26"/>
                <w:szCs w:val="26"/>
              </w:rPr>
            </w:pPr>
            <w:r>
              <w:rPr>
                <w:sz w:val="26"/>
                <w:szCs w:val="26"/>
              </w:rPr>
              <w:t>Professional behavior</w:t>
            </w:r>
          </w:p>
          <w:p w14:paraId="07F21219" w14:textId="77777777" w:rsidR="000103D8" w:rsidRDefault="00FA71BE">
            <w:pPr>
              <w:numPr>
                <w:ilvl w:val="0"/>
                <w:numId w:val="3"/>
              </w:numPr>
              <w:spacing w:after="0" w:line="240" w:lineRule="auto"/>
              <w:contextualSpacing/>
              <w:rPr>
                <w:sz w:val="26"/>
                <w:szCs w:val="26"/>
              </w:rPr>
            </w:pPr>
            <w:r>
              <w:rPr>
                <w:sz w:val="26"/>
                <w:szCs w:val="26"/>
              </w:rPr>
              <w:t>Maintaining stakeholder relationships</w:t>
            </w:r>
          </w:p>
          <w:p w14:paraId="6CAD0F70" w14:textId="77777777" w:rsidR="000103D8" w:rsidRDefault="00FA71BE">
            <w:pPr>
              <w:numPr>
                <w:ilvl w:val="0"/>
                <w:numId w:val="3"/>
              </w:numPr>
              <w:spacing w:after="0" w:line="240" w:lineRule="auto"/>
              <w:contextualSpacing/>
              <w:rPr>
                <w:sz w:val="26"/>
                <w:szCs w:val="26"/>
              </w:rPr>
            </w:pPr>
            <w:r>
              <w:rPr>
                <w:sz w:val="26"/>
                <w:szCs w:val="26"/>
              </w:rPr>
              <w:t>Communication skills</w:t>
            </w:r>
          </w:p>
          <w:p w14:paraId="46362B08" w14:textId="77777777" w:rsidR="000103D8" w:rsidRDefault="00FA71BE">
            <w:pPr>
              <w:numPr>
                <w:ilvl w:val="0"/>
                <w:numId w:val="3"/>
              </w:numPr>
              <w:spacing w:after="0" w:line="240" w:lineRule="auto"/>
              <w:contextualSpacing/>
              <w:rPr>
                <w:sz w:val="26"/>
                <w:szCs w:val="26"/>
              </w:rPr>
            </w:pPr>
            <w:r>
              <w:rPr>
                <w:sz w:val="26"/>
                <w:szCs w:val="26"/>
              </w:rPr>
              <w:t>Cross-cultural understanding</w:t>
            </w:r>
          </w:p>
          <w:p w14:paraId="271DA8C0" w14:textId="77777777" w:rsidR="000103D8" w:rsidRDefault="00FA71BE">
            <w:pPr>
              <w:numPr>
                <w:ilvl w:val="0"/>
                <w:numId w:val="3"/>
              </w:numPr>
              <w:spacing w:after="0" w:line="240" w:lineRule="auto"/>
              <w:contextualSpacing/>
              <w:rPr>
                <w:sz w:val="26"/>
                <w:szCs w:val="26"/>
              </w:rPr>
            </w:pPr>
            <w:r>
              <w:rPr>
                <w:sz w:val="26"/>
                <w:szCs w:val="26"/>
              </w:rPr>
              <w:t>Advocating for social justice</w:t>
            </w:r>
          </w:p>
          <w:p w14:paraId="37DF953B" w14:textId="77777777" w:rsidR="000103D8" w:rsidRDefault="00FA71BE">
            <w:pPr>
              <w:numPr>
                <w:ilvl w:val="0"/>
                <w:numId w:val="3"/>
              </w:numPr>
              <w:spacing w:after="0" w:line="240" w:lineRule="auto"/>
              <w:contextualSpacing/>
              <w:rPr>
                <w:sz w:val="26"/>
                <w:szCs w:val="26"/>
              </w:rPr>
            </w:pPr>
            <w:r>
              <w:rPr>
                <w:sz w:val="26"/>
                <w:szCs w:val="26"/>
              </w:rPr>
              <w:t>Facilitating innovative change</w:t>
            </w:r>
          </w:p>
          <w:p w14:paraId="176CDD37" w14:textId="77777777" w:rsidR="000103D8" w:rsidRDefault="000103D8">
            <w:pPr>
              <w:spacing w:after="0" w:line="240" w:lineRule="auto"/>
              <w:rPr>
                <w:sz w:val="26"/>
                <w:szCs w:val="26"/>
              </w:rPr>
            </w:pPr>
          </w:p>
        </w:tc>
        <w:tc>
          <w:tcPr>
            <w:tcW w:w="4680" w:type="dxa"/>
            <w:tcBorders>
              <w:top w:val="single" w:sz="18" w:space="0" w:color="000000"/>
              <w:left w:val="single" w:sz="18" w:space="0" w:color="000000"/>
              <w:bottom w:val="single" w:sz="18" w:space="0" w:color="000000"/>
              <w:right w:val="single" w:sz="18" w:space="0" w:color="000000"/>
            </w:tcBorders>
            <w:shd w:val="clear" w:color="auto" w:fill="CFE2F3"/>
            <w:tcMar>
              <w:top w:w="100" w:type="dxa"/>
              <w:left w:w="100" w:type="dxa"/>
              <w:bottom w:w="100" w:type="dxa"/>
              <w:right w:w="100" w:type="dxa"/>
            </w:tcMar>
          </w:tcPr>
          <w:p w14:paraId="466F4638" w14:textId="77777777" w:rsidR="000103D8" w:rsidRDefault="00FA71BE">
            <w:pPr>
              <w:numPr>
                <w:ilvl w:val="0"/>
                <w:numId w:val="2"/>
              </w:numPr>
              <w:spacing w:line="240" w:lineRule="auto"/>
              <w:rPr>
                <w:b/>
                <w:sz w:val="26"/>
                <w:szCs w:val="26"/>
              </w:rPr>
            </w:pPr>
            <w:r>
              <w:rPr>
                <w:b/>
                <w:sz w:val="26"/>
                <w:szCs w:val="26"/>
              </w:rPr>
              <w:t>STRATEGIC MANAGEMENT</w:t>
            </w:r>
          </w:p>
          <w:p w14:paraId="35E5B7DF" w14:textId="77777777" w:rsidR="000103D8" w:rsidRDefault="00FA71BE">
            <w:pPr>
              <w:numPr>
                <w:ilvl w:val="0"/>
                <w:numId w:val="6"/>
              </w:numPr>
              <w:spacing w:after="0" w:line="240" w:lineRule="auto"/>
              <w:contextualSpacing/>
              <w:rPr>
                <w:sz w:val="26"/>
                <w:szCs w:val="26"/>
              </w:rPr>
            </w:pPr>
            <w:r>
              <w:rPr>
                <w:sz w:val="26"/>
                <w:szCs w:val="26"/>
              </w:rPr>
              <w:t>Fundraising</w:t>
            </w:r>
          </w:p>
          <w:p w14:paraId="48CBC492" w14:textId="77777777" w:rsidR="000103D8" w:rsidRDefault="00FA71BE">
            <w:pPr>
              <w:numPr>
                <w:ilvl w:val="0"/>
                <w:numId w:val="6"/>
              </w:numPr>
              <w:spacing w:after="0" w:line="240" w:lineRule="auto"/>
              <w:contextualSpacing/>
              <w:rPr>
                <w:sz w:val="26"/>
                <w:szCs w:val="26"/>
              </w:rPr>
            </w:pPr>
            <w:r>
              <w:rPr>
                <w:sz w:val="26"/>
                <w:szCs w:val="26"/>
              </w:rPr>
              <w:t>Marketing and public relations</w:t>
            </w:r>
          </w:p>
          <w:p w14:paraId="4C40F7B8" w14:textId="77777777" w:rsidR="000103D8" w:rsidRDefault="00FA71BE">
            <w:pPr>
              <w:numPr>
                <w:ilvl w:val="0"/>
                <w:numId w:val="6"/>
              </w:numPr>
              <w:spacing w:after="0" w:line="240" w:lineRule="auto"/>
              <w:contextualSpacing/>
              <w:rPr>
                <w:sz w:val="26"/>
                <w:szCs w:val="26"/>
              </w:rPr>
            </w:pPr>
            <w:r>
              <w:rPr>
                <w:sz w:val="26"/>
                <w:szCs w:val="26"/>
              </w:rPr>
              <w:t>Designs and develops effective programs</w:t>
            </w:r>
          </w:p>
          <w:p w14:paraId="736C3026" w14:textId="77777777" w:rsidR="000103D8" w:rsidRDefault="00FA71BE">
            <w:pPr>
              <w:numPr>
                <w:ilvl w:val="0"/>
                <w:numId w:val="6"/>
              </w:numPr>
              <w:spacing w:after="0" w:line="240" w:lineRule="auto"/>
              <w:contextualSpacing/>
              <w:rPr>
                <w:sz w:val="26"/>
                <w:szCs w:val="26"/>
              </w:rPr>
            </w:pPr>
            <w:r>
              <w:rPr>
                <w:sz w:val="26"/>
                <w:szCs w:val="26"/>
              </w:rPr>
              <w:t>Manages risk and legal affairs</w:t>
            </w:r>
          </w:p>
          <w:p w14:paraId="188007A3" w14:textId="37A6A873" w:rsidR="000103D8" w:rsidRDefault="005D384A">
            <w:pPr>
              <w:numPr>
                <w:ilvl w:val="0"/>
                <w:numId w:val="6"/>
              </w:numPr>
              <w:spacing w:after="0" w:line="240" w:lineRule="auto"/>
              <w:contextualSpacing/>
              <w:rPr>
                <w:sz w:val="26"/>
                <w:szCs w:val="26"/>
              </w:rPr>
            </w:pPr>
            <w:r>
              <w:rPr>
                <w:sz w:val="26"/>
                <w:szCs w:val="26"/>
              </w:rPr>
              <w:t xml:space="preserve">Ensures </w:t>
            </w:r>
            <w:r w:rsidR="00FA71BE">
              <w:rPr>
                <w:sz w:val="26"/>
                <w:szCs w:val="26"/>
              </w:rPr>
              <w:t>strategic planning</w:t>
            </w:r>
          </w:p>
          <w:p w14:paraId="02B1A600" w14:textId="77777777" w:rsidR="000103D8" w:rsidRDefault="000103D8">
            <w:pPr>
              <w:spacing w:after="0" w:line="240" w:lineRule="auto"/>
              <w:rPr>
                <w:sz w:val="26"/>
                <w:szCs w:val="26"/>
              </w:rPr>
            </w:pPr>
          </w:p>
        </w:tc>
      </w:tr>
      <w:tr w:rsidR="000103D8" w14:paraId="7EA9B904" w14:textId="77777777">
        <w:tc>
          <w:tcPr>
            <w:tcW w:w="4680" w:type="dxa"/>
            <w:tcBorders>
              <w:top w:val="single" w:sz="18" w:space="0" w:color="000000"/>
              <w:left w:val="single" w:sz="18" w:space="0" w:color="000000"/>
              <w:bottom w:val="single" w:sz="18" w:space="0" w:color="000000"/>
              <w:right w:val="single" w:sz="18" w:space="0" w:color="000000"/>
            </w:tcBorders>
            <w:shd w:val="clear" w:color="auto" w:fill="D9EAD3"/>
            <w:tcMar>
              <w:top w:w="100" w:type="dxa"/>
              <w:left w:w="100" w:type="dxa"/>
              <w:bottom w:w="100" w:type="dxa"/>
              <w:right w:w="100" w:type="dxa"/>
            </w:tcMar>
          </w:tcPr>
          <w:p w14:paraId="703D9828" w14:textId="77777777" w:rsidR="000103D8" w:rsidRDefault="00FA71BE">
            <w:pPr>
              <w:numPr>
                <w:ilvl w:val="0"/>
                <w:numId w:val="8"/>
              </w:numPr>
              <w:spacing w:line="240" w:lineRule="auto"/>
              <w:rPr>
                <w:b/>
                <w:sz w:val="26"/>
                <w:szCs w:val="26"/>
              </w:rPr>
            </w:pPr>
            <w:r>
              <w:rPr>
                <w:b/>
                <w:sz w:val="26"/>
                <w:szCs w:val="26"/>
              </w:rPr>
              <w:t>RESOURCE MANAGEMENT</w:t>
            </w:r>
          </w:p>
          <w:p w14:paraId="060325A7" w14:textId="77777777" w:rsidR="000103D8" w:rsidRDefault="00FA71BE">
            <w:pPr>
              <w:numPr>
                <w:ilvl w:val="0"/>
                <w:numId w:val="7"/>
              </w:numPr>
              <w:spacing w:after="0" w:line="240" w:lineRule="auto"/>
              <w:contextualSpacing/>
              <w:rPr>
                <w:sz w:val="26"/>
                <w:szCs w:val="26"/>
              </w:rPr>
            </w:pPr>
            <w:r>
              <w:rPr>
                <w:sz w:val="26"/>
                <w:szCs w:val="26"/>
              </w:rPr>
              <w:t>Effectively manages human resources</w:t>
            </w:r>
          </w:p>
          <w:p w14:paraId="41C83988" w14:textId="77777777" w:rsidR="000103D8" w:rsidRDefault="00FA71BE">
            <w:pPr>
              <w:numPr>
                <w:ilvl w:val="0"/>
                <w:numId w:val="7"/>
              </w:numPr>
              <w:spacing w:after="0" w:line="240" w:lineRule="auto"/>
              <w:contextualSpacing/>
              <w:rPr>
                <w:sz w:val="26"/>
                <w:szCs w:val="26"/>
              </w:rPr>
            </w:pPr>
            <w:r>
              <w:rPr>
                <w:sz w:val="26"/>
                <w:szCs w:val="26"/>
              </w:rPr>
              <w:t>Effectively manages and oversees</w:t>
            </w:r>
          </w:p>
          <w:p w14:paraId="3953E349" w14:textId="77777777" w:rsidR="000103D8" w:rsidRDefault="00FA71BE">
            <w:pPr>
              <w:numPr>
                <w:ilvl w:val="0"/>
                <w:numId w:val="7"/>
              </w:numPr>
              <w:spacing w:after="0" w:line="240" w:lineRule="auto"/>
              <w:contextualSpacing/>
              <w:rPr>
                <w:sz w:val="26"/>
                <w:szCs w:val="26"/>
              </w:rPr>
            </w:pPr>
            <w:r>
              <w:rPr>
                <w:sz w:val="26"/>
                <w:szCs w:val="26"/>
              </w:rPr>
              <w:t>the budget and other financial resources</w:t>
            </w:r>
          </w:p>
          <w:p w14:paraId="624328EE" w14:textId="77777777" w:rsidR="000103D8" w:rsidRDefault="00FA71BE">
            <w:pPr>
              <w:numPr>
                <w:ilvl w:val="0"/>
                <w:numId w:val="7"/>
              </w:numPr>
              <w:spacing w:after="0" w:line="240" w:lineRule="auto"/>
              <w:contextualSpacing/>
              <w:rPr>
                <w:sz w:val="26"/>
                <w:szCs w:val="26"/>
              </w:rPr>
            </w:pPr>
            <w:r>
              <w:rPr>
                <w:sz w:val="26"/>
                <w:szCs w:val="26"/>
              </w:rPr>
              <w:t>Ensures transparency, protection,</w:t>
            </w:r>
          </w:p>
          <w:p w14:paraId="45862241" w14:textId="77777777" w:rsidR="000103D8" w:rsidRDefault="00FA71BE">
            <w:pPr>
              <w:numPr>
                <w:ilvl w:val="0"/>
                <w:numId w:val="7"/>
              </w:numPr>
              <w:spacing w:after="0" w:line="240" w:lineRule="auto"/>
              <w:contextualSpacing/>
              <w:rPr>
                <w:sz w:val="26"/>
                <w:szCs w:val="26"/>
              </w:rPr>
            </w:pPr>
            <w:r>
              <w:rPr>
                <w:sz w:val="26"/>
                <w:szCs w:val="26"/>
              </w:rPr>
              <w:t>and accountability</w:t>
            </w:r>
          </w:p>
          <w:p w14:paraId="4833404C" w14:textId="5C7686AB" w:rsidR="000103D8" w:rsidRPr="005D384A" w:rsidRDefault="00FA71BE" w:rsidP="005D384A">
            <w:pPr>
              <w:numPr>
                <w:ilvl w:val="0"/>
                <w:numId w:val="7"/>
              </w:numPr>
              <w:spacing w:after="0" w:line="240" w:lineRule="auto"/>
              <w:contextualSpacing/>
              <w:rPr>
                <w:sz w:val="26"/>
                <w:szCs w:val="26"/>
              </w:rPr>
            </w:pPr>
            <w:r>
              <w:rPr>
                <w:sz w:val="26"/>
                <w:szCs w:val="26"/>
              </w:rPr>
              <w:t xml:space="preserve">Manages all aspects of </w:t>
            </w:r>
            <w:r w:rsidR="005D384A">
              <w:rPr>
                <w:sz w:val="26"/>
                <w:szCs w:val="26"/>
              </w:rPr>
              <w:t xml:space="preserve">information </w:t>
            </w:r>
            <w:r w:rsidR="005D384A" w:rsidRPr="005D384A">
              <w:rPr>
                <w:sz w:val="26"/>
                <w:szCs w:val="26"/>
              </w:rPr>
              <w:t>technology</w:t>
            </w:r>
          </w:p>
          <w:p w14:paraId="71366C83" w14:textId="77777777" w:rsidR="000103D8" w:rsidRDefault="000103D8">
            <w:pPr>
              <w:spacing w:after="0" w:line="240" w:lineRule="auto"/>
              <w:rPr>
                <w:sz w:val="26"/>
                <w:szCs w:val="26"/>
              </w:rPr>
            </w:pPr>
          </w:p>
        </w:tc>
        <w:tc>
          <w:tcPr>
            <w:tcW w:w="4680" w:type="dxa"/>
            <w:tcBorders>
              <w:top w:val="single" w:sz="18" w:space="0" w:color="000000"/>
              <w:left w:val="single" w:sz="18" w:space="0" w:color="000000"/>
              <w:bottom w:val="single" w:sz="18" w:space="0" w:color="000000"/>
              <w:right w:val="single" w:sz="18" w:space="0" w:color="000000"/>
            </w:tcBorders>
            <w:shd w:val="clear" w:color="auto" w:fill="FCE5CD"/>
            <w:tcMar>
              <w:top w:w="100" w:type="dxa"/>
              <w:left w:w="100" w:type="dxa"/>
              <w:bottom w:w="100" w:type="dxa"/>
              <w:right w:w="100" w:type="dxa"/>
            </w:tcMar>
          </w:tcPr>
          <w:p w14:paraId="4FEDD3AD" w14:textId="77777777" w:rsidR="000103D8" w:rsidRDefault="00FA71BE">
            <w:pPr>
              <w:numPr>
                <w:ilvl w:val="0"/>
                <w:numId w:val="4"/>
              </w:numPr>
              <w:spacing w:line="240" w:lineRule="auto"/>
              <w:rPr>
                <w:b/>
                <w:sz w:val="26"/>
                <w:szCs w:val="26"/>
              </w:rPr>
            </w:pPr>
            <w:r>
              <w:rPr>
                <w:b/>
                <w:sz w:val="26"/>
                <w:szCs w:val="26"/>
              </w:rPr>
              <w:t>COMMUNITY COLLABORATION</w:t>
            </w:r>
          </w:p>
          <w:p w14:paraId="71DE77E0" w14:textId="6AAD1EEC" w:rsidR="000103D8" w:rsidRDefault="00FA71BE" w:rsidP="005D384A">
            <w:pPr>
              <w:numPr>
                <w:ilvl w:val="0"/>
                <w:numId w:val="1"/>
              </w:numPr>
              <w:spacing w:after="0" w:line="240" w:lineRule="auto"/>
              <w:contextualSpacing/>
              <w:rPr>
                <w:sz w:val="26"/>
                <w:szCs w:val="26"/>
              </w:rPr>
            </w:pPr>
            <w:r>
              <w:rPr>
                <w:sz w:val="26"/>
                <w:szCs w:val="26"/>
              </w:rPr>
              <w:t>Builds relationship</w:t>
            </w:r>
            <w:r w:rsidR="000C6F17">
              <w:rPr>
                <w:sz w:val="26"/>
                <w:szCs w:val="26"/>
              </w:rPr>
              <w:t>s</w:t>
            </w:r>
            <w:r>
              <w:rPr>
                <w:sz w:val="26"/>
                <w:szCs w:val="26"/>
              </w:rPr>
              <w:t xml:space="preserve"> with complementary agencies, institutions and community groups</w:t>
            </w:r>
            <w:r w:rsidR="000C6F17">
              <w:rPr>
                <w:sz w:val="26"/>
                <w:szCs w:val="26"/>
              </w:rPr>
              <w:t xml:space="preserve"> to enhance the delivery of services</w:t>
            </w:r>
            <w:r w:rsidR="005D384A">
              <w:rPr>
                <w:sz w:val="26"/>
                <w:szCs w:val="26"/>
              </w:rPr>
              <w:t>.</w:t>
            </w:r>
            <w:r>
              <w:rPr>
                <w:sz w:val="26"/>
                <w:szCs w:val="26"/>
              </w:rPr>
              <w:t xml:space="preserve"> </w:t>
            </w:r>
          </w:p>
        </w:tc>
      </w:tr>
    </w:tbl>
    <w:p w14:paraId="502BDD57" w14:textId="77777777" w:rsidR="000103D8" w:rsidRDefault="000103D8">
      <w:pPr>
        <w:spacing w:after="0" w:line="240" w:lineRule="auto"/>
        <w:rPr>
          <w:sz w:val="26"/>
          <w:szCs w:val="26"/>
        </w:rPr>
      </w:pPr>
    </w:p>
    <w:p w14:paraId="3DD73B6E" w14:textId="77777777" w:rsidR="000103D8" w:rsidRDefault="00FA71BE">
      <w:pPr>
        <w:spacing w:after="0" w:line="240" w:lineRule="auto"/>
        <w:rPr>
          <w:b/>
          <w:sz w:val="26"/>
          <w:szCs w:val="26"/>
        </w:rPr>
      </w:pPr>
      <w:r>
        <w:rPr>
          <w:b/>
          <w:sz w:val="26"/>
          <w:szCs w:val="26"/>
        </w:rPr>
        <w:t>Proposal Submission Instructions</w:t>
      </w:r>
    </w:p>
    <w:p w14:paraId="050FC93A" w14:textId="77777777" w:rsidR="000103D8" w:rsidRDefault="000103D8">
      <w:pPr>
        <w:spacing w:after="0" w:line="240" w:lineRule="auto"/>
        <w:rPr>
          <w:sz w:val="26"/>
          <w:szCs w:val="26"/>
        </w:rPr>
      </w:pPr>
    </w:p>
    <w:p w14:paraId="49A75684" w14:textId="77777777" w:rsidR="000103D8" w:rsidRDefault="00FA71BE">
      <w:pPr>
        <w:spacing w:after="0" w:line="240" w:lineRule="auto"/>
        <w:rPr>
          <w:sz w:val="26"/>
          <w:szCs w:val="26"/>
        </w:rPr>
      </w:pPr>
      <w:r>
        <w:rPr>
          <w:sz w:val="26"/>
          <w:szCs w:val="26"/>
        </w:rPr>
        <w:t>All proposal submissions should be 500 words maximum with an abstract of 50-100 words.  Presenter contact information including credentials, workshop title, aims, objectives (e.g., knowledge or skills outcomes), and optimal number of participants must be included and are not included in the word counts. All accepted presenters must submit electronic material such as Power Point Slides or a paper before the conference.</w:t>
      </w:r>
    </w:p>
    <w:p w14:paraId="33AED262" w14:textId="77777777" w:rsidR="000103D8" w:rsidRDefault="000103D8">
      <w:pPr>
        <w:spacing w:after="0" w:line="240" w:lineRule="auto"/>
        <w:rPr>
          <w:sz w:val="26"/>
          <w:szCs w:val="26"/>
        </w:rPr>
      </w:pPr>
    </w:p>
    <w:p w14:paraId="54C9B791" w14:textId="77777777" w:rsidR="000103D8" w:rsidRDefault="00FA71BE">
      <w:pPr>
        <w:spacing w:after="0" w:line="240" w:lineRule="auto"/>
        <w:rPr>
          <w:b/>
          <w:sz w:val="26"/>
          <w:szCs w:val="26"/>
        </w:rPr>
      </w:pPr>
      <w:r>
        <w:rPr>
          <w:b/>
          <w:sz w:val="26"/>
          <w:szCs w:val="26"/>
        </w:rPr>
        <w:t xml:space="preserve">Each proposal must indicate the following: </w:t>
      </w:r>
    </w:p>
    <w:p w14:paraId="599417D5" w14:textId="77777777" w:rsidR="000103D8" w:rsidRDefault="00FA71BE">
      <w:pPr>
        <w:spacing w:after="0" w:line="240" w:lineRule="auto"/>
        <w:rPr>
          <w:sz w:val="26"/>
          <w:szCs w:val="26"/>
        </w:rPr>
      </w:pPr>
      <w:r>
        <w:rPr>
          <w:b/>
          <w:i/>
          <w:sz w:val="26"/>
          <w:szCs w:val="26"/>
        </w:rPr>
        <w:t>Sub-theme (choose one)</w:t>
      </w:r>
      <w:r>
        <w:rPr>
          <w:b/>
          <w:sz w:val="26"/>
          <w:szCs w:val="26"/>
        </w:rPr>
        <w:t>:</w:t>
      </w:r>
      <w:r>
        <w:rPr>
          <w:sz w:val="26"/>
          <w:szCs w:val="26"/>
        </w:rPr>
        <w:t xml:space="preserve"> Leadership, Strategic Management, Resource Management, or Community Collaboration. </w:t>
      </w:r>
    </w:p>
    <w:p w14:paraId="21631E46" w14:textId="77777777" w:rsidR="000103D8" w:rsidRDefault="00FA71BE">
      <w:pPr>
        <w:spacing w:after="0" w:line="240" w:lineRule="auto"/>
        <w:rPr>
          <w:b/>
          <w:sz w:val="26"/>
          <w:szCs w:val="26"/>
        </w:rPr>
      </w:pPr>
      <w:r>
        <w:rPr>
          <w:b/>
          <w:i/>
          <w:sz w:val="26"/>
          <w:szCs w:val="26"/>
        </w:rPr>
        <w:lastRenderedPageBreak/>
        <w:t>Audience Track (choose targeted audience levels/tracks):</w:t>
      </w:r>
      <w:r>
        <w:rPr>
          <w:i/>
          <w:sz w:val="26"/>
          <w:szCs w:val="26"/>
        </w:rPr>
        <w:t xml:space="preserve"> </w:t>
      </w:r>
      <w:r>
        <w:rPr>
          <w:sz w:val="26"/>
          <w:szCs w:val="26"/>
        </w:rPr>
        <w:t>Aspiring</w:t>
      </w:r>
      <w:r>
        <w:rPr>
          <w:i/>
          <w:sz w:val="26"/>
          <w:szCs w:val="26"/>
        </w:rPr>
        <w:t xml:space="preserve"> &amp; </w:t>
      </w:r>
      <w:r>
        <w:rPr>
          <w:sz w:val="26"/>
          <w:szCs w:val="26"/>
        </w:rPr>
        <w:t>Emerging, Middle &amp; Senior, or Executive.</w:t>
      </w:r>
    </w:p>
    <w:p w14:paraId="728D1960" w14:textId="77777777" w:rsidR="000103D8" w:rsidRDefault="000103D8">
      <w:pPr>
        <w:spacing w:after="0" w:line="240" w:lineRule="auto"/>
        <w:rPr>
          <w:b/>
          <w:sz w:val="26"/>
          <w:szCs w:val="26"/>
        </w:rPr>
      </w:pPr>
    </w:p>
    <w:p w14:paraId="2A136FB0" w14:textId="77777777" w:rsidR="000103D8" w:rsidRDefault="000103D8">
      <w:pPr>
        <w:spacing w:after="0" w:line="240" w:lineRule="auto"/>
        <w:rPr>
          <w:b/>
          <w:sz w:val="26"/>
          <w:szCs w:val="26"/>
        </w:rPr>
      </w:pPr>
    </w:p>
    <w:p w14:paraId="46B0777F" w14:textId="77777777" w:rsidR="000103D8" w:rsidRDefault="00FA71BE">
      <w:pPr>
        <w:spacing w:after="0" w:line="240" w:lineRule="auto"/>
        <w:rPr>
          <w:b/>
          <w:sz w:val="26"/>
          <w:szCs w:val="26"/>
        </w:rPr>
      </w:pPr>
      <w:r>
        <w:rPr>
          <w:b/>
          <w:sz w:val="26"/>
          <w:szCs w:val="26"/>
        </w:rPr>
        <w:t xml:space="preserve">Proposals are invited in the formats listed below: </w:t>
      </w:r>
    </w:p>
    <w:p w14:paraId="7AE524B1" w14:textId="77777777" w:rsidR="000103D8" w:rsidRDefault="000103D8">
      <w:pPr>
        <w:spacing w:after="0" w:line="240" w:lineRule="auto"/>
        <w:rPr>
          <w:sz w:val="26"/>
          <w:szCs w:val="26"/>
        </w:rPr>
      </w:pPr>
    </w:p>
    <w:p w14:paraId="43BD872C" w14:textId="77777777" w:rsidR="000103D8" w:rsidRDefault="00FA71BE">
      <w:pPr>
        <w:spacing w:after="0" w:line="240" w:lineRule="auto"/>
        <w:rPr>
          <w:sz w:val="26"/>
          <w:szCs w:val="26"/>
        </w:rPr>
      </w:pPr>
      <w:r>
        <w:rPr>
          <w:b/>
          <w:sz w:val="26"/>
          <w:szCs w:val="26"/>
        </w:rPr>
        <w:t>60-Minute Workshops</w:t>
      </w:r>
      <w:r>
        <w:rPr>
          <w:sz w:val="26"/>
          <w:szCs w:val="26"/>
        </w:rPr>
        <w:t xml:space="preserve">: Workshops are designed to introduce the audience to strategies, methods, skills, or practice orientations. Workshops may include demonstrations and time for skill practice and acquisition. </w:t>
      </w:r>
    </w:p>
    <w:p w14:paraId="58F779FA" w14:textId="77777777" w:rsidR="000103D8" w:rsidRDefault="000103D8">
      <w:pPr>
        <w:spacing w:after="0" w:line="240" w:lineRule="auto"/>
        <w:rPr>
          <w:sz w:val="26"/>
          <w:szCs w:val="26"/>
        </w:rPr>
      </w:pPr>
    </w:p>
    <w:p w14:paraId="290F413E" w14:textId="77777777" w:rsidR="000103D8" w:rsidRDefault="00FA71BE">
      <w:pPr>
        <w:spacing w:after="0" w:line="240" w:lineRule="auto"/>
        <w:rPr>
          <w:sz w:val="26"/>
          <w:szCs w:val="26"/>
        </w:rPr>
      </w:pPr>
      <w:r>
        <w:rPr>
          <w:b/>
          <w:sz w:val="26"/>
          <w:szCs w:val="26"/>
        </w:rPr>
        <w:t xml:space="preserve">60-Minute Panels: </w:t>
      </w:r>
      <w:r>
        <w:rPr>
          <w:sz w:val="26"/>
          <w:szCs w:val="26"/>
        </w:rPr>
        <w:t>Panelists present a series of up to three papers focused on a common theme exploring multiple perspectives and experts. The panel is organized by a primary presenter who will introduce the topic and panelists. Each panelist must submit an abstract (as described above) for their topic, including the names of other panel members.</w:t>
      </w:r>
    </w:p>
    <w:p w14:paraId="49469DB2" w14:textId="77777777" w:rsidR="000103D8" w:rsidRDefault="000103D8">
      <w:pPr>
        <w:spacing w:after="0" w:line="240" w:lineRule="auto"/>
        <w:rPr>
          <w:sz w:val="26"/>
          <w:szCs w:val="26"/>
        </w:rPr>
      </w:pPr>
    </w:p>
    <w:p w14:paraId="351C9C04" w14:textId="77777777" w:rsidR="000103D8" w:rsidRDefault="00FA71BE">
      <w:pPr>
        <w:spacing w:after="0" w:line="240" w:lineRule="auto"/>
        <w:rPr>
          <w:sz w:val="26"/>
          <w:szCs w:val="26"/>
        </w:rPr>
      </w:pPr>
      <w:r>
        <w:rPr>
          <w:b/>
          <w:sz w:val="26"/>
          <w:szCs w:val="26"/>
        </w:rPr>
        <w:t xml:space="preserve">Individual 30-Minute Presentations of a Paper: </w:t>
      </w:r>
      <w:r>
        <w:rPr>
          <w:sz w:val="26"/>
          <w:szCs w:val="26"/>
        </w:rPr>
        <w:t xml:space="preserve">These are 20-minute presentations allowing for 10 additional minutes for questions and discussion. Presentations on similar topics will be paired so each session will include two individual presentations. </w:t>
      </w:r>
    </w:p>
    <w:p w14:paraId="259A23F1" w14:textId="77777777" w:rsidR="000103D8" w:rsidRDefault="00FA71BE">
      <w:pPr>
        <w:spacing w:after="0" w:line="240" w:lineRule="auto"/>
        <w:rPr>
          <w:sz w:val="26"/>
          <w:szCs w:val="26"/>
        </w:rPr>
      </w:pPr>
      <w:r>
        <w:rPr>
          <w:i/>
          <w:sz w:val="26"/>
          <w:szCs w:val="26"/>
        </w:rPr>
        <w:t xml:space="preserve">In your proposal application, please indicate if you are willing to present your material as a poster presentation if it is not accepted for a session presentation. </w:t>
      </w:r>
    </w:p>
    <w:p w14:paraId="256189E7" w14:textId="77777777" w:rsidR="000103D8" w:rsidRDefault="000103D8">
      <w:pPr>
        <w:spacing w:after="0" w:line="240" w:lineRule="auto"/>
        <w:rPr>
          <w:sz w:val="26"/>
          <w:szCs w:val="26"/>
        </w:rPr>
      </w:pPr>
    </w:p>
    <w:p w14:paraId="29F422FC" w14:textId="77777777" w:rsidR="000103D8" w:rsidRDefault="00FA71BE">
      <w:pPr>
        <w:spacing w:after="0" w:line="240" w:lineRule="auto"/>
        <w:rPr>
          <w:color w:val="002060"/>
          <w:sz w:val="26"/>
          <w:szCs w:val="26"/>
        </w:rPr>
      </w:pPr>
      <w:r>
        <w:rPr>
          <w:b/>
          <w:sz w:val="26"/>
          <w:szCs w:val="26"/>
        </w:rPr>
        <w:t xml:space="preserve">Poster Presentations: </w:t>
      </w:r>
      <w:r>
        <w:rPr>
          <w:sz w:val="26"/>
          <w:szCs w:val="26"/>
        </w:rPr>
        <w:t>Po</w:t>
      </w:r>
      <w:r w:rsidRPr="004357C4">
        <w:rPr>
          <w:color w:val="000000" w:themeColor="text1"/>
          <w:sz w:val="26"/>
          <w:szCs w:val="26"/>
        </w:rPr>
        <w:t>ster sessions will occur at scheduled times, with the authors present to discuss their work. Posters will also be available for viewing at other times during the conference.</w:t>
      </w:r>
    </w:p>
    <w:p w14:paraId="15EEDCA4" w14:textId="77777777" w:rsidR="000103D8" w:rsidRDefault="00FA71BE">
      <w:pPr>
        <w:spacing w:after="0" w:line="240" w:lineRule="auto"/>
        <w:rPr>
          <w:i/>
          <w:color w:val="002060"/>
          <w:sz w:val="26"/>
          <w:szCs w:val="26"/>
        </w:rPr>
      </w:pPr>
      <w:r>
        <w:rPr>
          <w:color w:val="002060"/>
          <w:sz w:val="26"/>
          <w:szCs w:val="26"/>
        </w:rPr>
        <w:t xml:space="preserve"> </w:t>
      </w:r>
    </w:p>
    <w:p w14:paraId="079330CF" w14:textId="77777777" w:rsidR="000103D8" w:rsidRDefault="000103D8">
      <w:pPr>
        <w:spacing w:after="0" w:line="240" w:lineRule="auto"/>
        <w:rPr>
          <w:b/>
          <w:sz w:val="26"/>
          <w:szCs w:val="26"/>
        </w:rPr>
      </w:pPr>
    </w:p>
    <w:p w14:paraId="34C435A3" w14:textId="444A7E8E" w:rsidR="000103D8" w:rsidRDefault="00FA71BE">
      <w:pPr>
        <w:spacing w:after="0" w:line="240" w:lineRule="auto"/>
        <w:rPr>
          <w:b/>
          <w:color w:val="0000FF"/>
          <w:sz w:val="26"/>
          <w:szCs w:val="26"/>
        </w:rPr>
      </w:pPr>
      <w:r>
        <w:rPr>
          <w:b/>
          <w:sz w:val="26"/>
          <w:szCs w:val="26"/>
        </w:rPr>
        <w:t xml:space="preserve">SUBMIT: </w:t>
      </w:r>
      <w:r w:rsidR="00F132D9">
        <w:rPr>
          <w:b/>
          <w:sz w:val="26"/>
          <w:szCs w:val="26"/>
        </w:rPr>
        <w:t>ALL p</w:t>
      </w:r>
      <w:r>
        <w:rPr>
          <w:b/>
          <w:sz w:val="26"/>
          <w:szCs w:val="26"/>
        </w:rPr>
        <w:t xml:space="preserve">roposals </w:t>
      </w:r>
      <w:r w:rsidR="00F132D9">
        <w:rPr>
          <w:b/>
          <w:sz w:val="26"/>
          <w:szCs w:val="26"/>
        </w:rPr>
        <w:t>must</w:t>
      </w:r>
      <w:r>
        <w:rPr>
          <w:b/>
          <w:sz w:val="26"/>
          <w:szCs w:val="26"/>
        </w:rPr>
        <w:t xml:space="preserve"> be submitted online</w:t>
      </w:r>
      <w:r w:rsidR="00F132D9">
        <w:rPr>
          <w:b/>
          <w:sz w:val="26"/>
          <w:szCs w:val="26"/>
        </w:rPr>
        <w:t xml:space="preserve"> to the Call for Proposals submission portal. </w:t>
      </w:r>
    </w:p>
    <w:p w14:paraId="664A9025" w14:textId="77777777" w:rsidR="000103D8" w:rsidRDefault="000103D8">
      <w:pPr>
        <w:spacing w:after="0" w:line="240" w:lineRule="auto"/>
        <w:rPr>
          <w:sz w:val="26"/>
          <w:szCs w:val="26"/>
        </w:rPr>
      </w:pPr>
    </w:p>
    <w:p w14:paraId="5588C4CA" w14:textId="77777777" w:rsidR="000103D8" w:rsidRDefault="00FA71BE">
      <w:pPr>
        <w:spacing w:after="0" w:line="240" w:lineRule="auto"/>
        <w:rPr>
          <w:sz w:val="26"/>
          <w:szCs w:val="26"/>
        </w:rPr>
      </w:pPr>
      <w:r>
        <w:rPr>
          <w:b/>
          <w:sz w:val="26"/>
          <w:szCs w:val="26"/>
        </w:rPr>
        <w:t>NOTIFICATIONS</w:t>
      </w:r>
      <w:r>
        <w:rPr>
          <w:sz w:val="26"/>
          <w:szCs w:val="26"/>
        </w:rPr>
        <w:t xml:space="preserve"> of acceptance will be made by </w:t>
      </w:r>
      <w:r>
        <w:rPr>
          <w:b/>
          <w:sz w:val="26"/>
          <w:szCs w:val="26"/>
        </w:rPr>
        <w:t>March 1, 2018</w:t>
      </w:r>
      <w:r>
        <w:rPr>
          <w:sz w:val="26"/>
          <w:szCs w:val="26"/>
        </w:rPr>
        <w:t xml:space="preserve">. All selected presenters will need to confirm acceptance and submit </w:t>
      </w:r>
      <w:r w:rsidRPr="004357C4">
        <w:rPr>
          <w:color w:val="000000" w:themeColor="text1"/>
          <w:sz w:val="26"/>
          <w:szCs w:val="26"/>
        </w:rPr>
        <w:t xml:space="preserve">a </w:t>
      </w:r>
      <w:r w:rsidRPr="004357C4">
        <w:rPr>
          <w:rFonts w:ascii="Arial" w:eastAsia="Arial" w:hAnsi="Arial" w:cs="Arial"/>
          <w:color w:val="000000" w:themeColor="text1"/>
          <w:highlight w:val="white"/>
        </w:rPr>
        <w:t>résumé</w:t>
      </w:r>
      <w:r w:rsidRPr="004357C4">
        <w:rPr>
          <w:color w:val="000000" w:themeColor="text1"/>
          <w:sz w:val="26"/>
          <w:szCs w:val="26"/>
        </w:rPr>
        <w:t xml:space="preserve"> </w:t>
      </w:r>
      <w:r>
        <w:rPr>
          <w:sz w:val="26"/>
          <w:szCs w:val="26"/>
        </w:rPr>
        <w:t xml:space="preserve">or curriculum vitae by March 9, 2018. Presenters must register and pay for conference attendance. All presenters will receive a discounted registration fee. Fees for presenters are: </w:t>
      </w:r>
      <w:r>
        <w:rPr>
          <w:b/>
          <w:i/>
          <w:sz w:val="26"/>
          <w:szCs w:val="26"/>
        </w:rPr>
        <w:t>Early Bird Registrations</w:t>
      </w:r>
      <w:r>
        <w:rPr>
          <w:sz w:val="26"/>
          <w:szCs w:val="26"/>
        </w:rPr>
        <w:t xml:space="preserve"> </w:t>
      </w:r>
      <w:r>
        <w:rPr>
          <w:b/>
          <w:i/>
          <w:sz w:val="26"/>
          <w:szCs w:val="26"/>
        </w:rPr>
        <w:t>(deadline March 24, 2018):</w:t>
      </w:r>
      <w:r>
        <w:rPr>
          <w:sz w:val="26"/>
          <w:szCs w:val="26"/>
        </w:rPr>
        <w:t xml:space="preserve"> 2-day $225, 1 day $175; Regular</w:t>
      </w:r>
      <w:r>
        <w:rPr>
          <w:b/>
          <w:i/>
          <w:sz w:val="26"/>
          <w:szCs w:val="26"/>
        </w:rPr>
        <w:t xml:space="preserve"> Registrations:</w:t>
      </w:r>
      <w:r>
        <w:rPr>
          <w:sz w:val="26"/>
          <w:szCs w:val="26"/>
        </w:rPr>
        <w:t xml:space="preserve">  2-day $275, 1 day $200. If you have any questions about submissions, please e-mail Program Committee Co-Chair Tom Packard at tpackard@mail.sdsu.edu. </w:t>
      </w:r>
    </w:p>
    <w:p w14:paraId="7AF2620E" w14:textId="77777777" w:rsidR="000103D8" w:rsidRDefault="000103D8">
      <w:pPr>
        <w:spacing w:after="0" w:line="240" w:lineRule="auto"/>
        <w:rPr>
          <w:sz w:val="26"/>
          <w:szCs w:val="26"/>
        </w:rPr>
      </w:pPr>
    </w:p>
    <w:p w14:paraId="3FA8A9C6" w14:textId="77777777" w:rsidR="000103D8" w:rsidRDefault="00FA71BE">
      <w:pPr>
        <w:spacing w:after="0" w:line="240" w:lineRule="auto"/>
        <w:rPr>
          <w:sz w:val="26"/>
          <w:szCs w:val="26"/>
        </w:rPr>
      </w:pPr>
      <w:r>
        <w:rPr>
          <w:b/>
          <w:sz w:val="26"/>
          <w:szCs w:val="26"/>
        </w:rPr>
        <w:t>PROPOSALS ARE DUE January 22, 2018</w:t>
      </w:r>
    </w:p>
    <w:p w14:paraId="4485DFFB" w14:textId="77777777" w:rsidR="000103D8" w:rsidRDefault="000103D8">
      <w:pPr>
        <w:spacing w:after="0" w:line="240" w:lineRule="auto"/>
        <w:rPr>
          <w:b/>
          <w:i/>
          <w:sz w:val="26"/>
          <w:szCs w:val="26"/>
        </w:rPr>
      </w:pPr>
    </w:p>
    <w:p w14:paraId="5EEE6BDC" w14:textId="77777777" w:rsidR="000103D8" w:rsidRDefault="00FA71BE">
      <w:pPr>
        <w:spacing w:after="0" w:line="240" w:lineRule="auto"/>
        <w:rPr>
          <w:sz w:val="26"/>
          <w:szCs w:val="26"/>
        </w:rPr>
      </w:pPr>
      <w:r>
        <w:rPr>
          <w:b/>
          <w:i/>
          <w:sz w:val="26"/>
          <w:szCs w:val="26"/>
        </w:rPr>
        <w:t xml:space="preserve">2018 Program Co-Chairs </w:t>
      </w:r>
    </w:p>
    <w:p w14:paraId="7BACC24A" w14:textId="77777777" w:rsidR="000103D8" w:rsidRDefault="000103D8">
      <w:pPr>
        <w:spacing w:after="0" w:line="240" w:lineRule="auto"/>
        <w:rPr>
          <w:sz w:val="26"/>
          <w:szCs w:val="26"/>
        </w:rPr>
      </w:pPr>
    </w:p>
    <w:p w14:paraId="2DA69C40" w14:textId="77777777" w:rsidR="000103D8" w:rsidRDefault="00FA71BE">
      <w:pPr>
        <w:spacing w:after="0" w:line="240" w:lineRule="auto"/>
        <w:rPr>
          <w:sz w:val="26"/>
          <w:szCs w:val="26"/>
        </w:rPr>
      </w:pPr>
      <w:r>
        <w:rPr>
          <w:sz w:val="26"/>
          <w:szCs w:val="26"/>
        </w:rPr>
        <w:t>Tom Packard, DSW</w:t>
      </w:r>
    </w:p>
    <w:p w14:paraId="6BC51764" w14:textId="77777777" w:rsidR="000103D8" w:rsidRDefault="00FA71BE">
      <w:pPr>
        <w:spacing w:after="0" w:line="240" w:lineRule="auto"/>
        <w:rPr>
          <w:sz w:val="26"/>
          <w:szCs w:val="26"/>
        </w:rPr>
      </w:pPr>
      <w:r>
        <w:rPr>
          <w:sz w:val="26"/>
          <w:szCs w:val="26"/>
        </w:rPr>
        <w:t>Professor Emeritus, SDSU School of Social Work</w:t>
      </w:r>
    </w:p>
    <w:p w14:paraId="031F56DC" w14:textId="77777777" w:rsidR="000103D8" w:rsidRDefault="000103D8">
      <w:pPr>
        <w:spacing w:after="0" w:line="240" w:lineRule="auto"/>
        <w:rPr>
          <w:sz w:val="26"/>
          <w:szCs w:val="26"/>
        </w:rPr>
      </w:pPr>
    </w:p>
    <w:p w14:paraId="6453EF64" w14:textId="77777777" w:rsidR="000103D8" w:rsidRDefault="00FA71BE">
      <w:pPr>
        <w:spacing w:after="0" w:line="240" w:lineRule="auto"/>
        <w:rPr>
          <w:sz w:val="26"/>
          <w:szCs w:val="26"/>
        </w:rPr>
      </w:pPr>
      <w:r>
        <w:rPr>
          <w:sz w:val="26"/>
          <w:szCs w:val="26"/>
        </w:rPr>
        <w:t>Jennifer Tucker-</w:t>
      </w:r>
      <w:proofErr w:type="spellStart"/>
      <w:r>
        <w:rPr>
          <w:sz w:val="26"/>
          <w:szCs w:val="26"/>
        </w:rPr>
        <w:t>Tatlow</w:t>
      </w:r>
      <w:proofErr w:type="spellEnd"/>
      <w:r>
        <w:rPr>
          <w:sz w:val="26"/>
          <w:szCs w:val="26"/>
        </w:rPr>
        <w:t>, MSW</w:t>
      </w:r>
    </w:p>
    <w:p w14:paraId="0313B563" w14:textId="77777777" w:rsidR="000103D8" w:rsidRDefault="00FA71BE">
      <w:pPr>
        <w:spacing w:after="0" w:line="240" w:lineRule="auto"/>
        <w:rPr>
          <w:sz w:val="26"/>
          <w:szCs w:val="26"/>
        </w:rPr>
      </w:pPr>
      <w:r>
        <w:rPr>
          <w:sz w:val="26"/>
          <w:szCs w:val="26"/>
        </w:rPr>
        <w:t>Director, Academy for Professional Excellence, SDSU School of Social Work</w:t>
      </w:r>
    </w:p>
    <w:p w14:paraId="26224A38" w14:textId="77777777" w:rsidR="000103D8" w:rsidRDefault="00FA71BE">
      <w:pPr>
        <w:spacing w:after="0" w:line="240" w:lineRule="auto"/>
        <w:rPr>
          <w:sz w:val="26"/>
          <w:szCs w:val="26"/>
        </w:rPr>
      </w:pPr>
      <w:r>
        <w:rPr>
          <w:sz w:val="26"/>
          <w:szCs w:val="26"/>
        </w:rPr>
        <w:t xml:space="preserve"> </w:t>
      </w:r>
    </w:p>
    <w:p w14:paraId="0C86031E" w14:textId="77777777" w:rsidR="000103D8" w:rsidRDefault="00FA71BE">
      <w:pPr>
        <w:spacing w:after="0" w:line="240" w:lineRule="auto"/>
        <w:rPr>
          <w:sz w:val="26"/>
          <w:szCs w:val="26"/>
        </w:rPr>
      </w:pPr>
      <w:r>
        <w:rPr>
          <w:b/>
          <w:i/>
          <w:sz w:val="26"/>
          <w:szCs w:val="26"/>
        </w:rPr>
        <w:t xml:space="preserve">2018 Conference Chairs </w:t>
      </w:r>
    </w:p>
    <w:p w14:paraId="0C3245EE" w14:textId="77777777" w:rsidR="000103D8" w:rsidRDefault="000103D8">
      <w:pPr>
        <w:spacing w:after="0" w:line="240" w:lineRule="auto"/>
        <w:rPr>
          <w:rFonts w:ascii="Arial" w:eastAsia="Arial" w:hAnsi="Arial" w:cs="Arial"/>
          <w:sz w:val="24"/>
          <w:szCs w:val="24"/>
        </w:rPr>
      </w:pPr>
    </w:p>
    <w:p w14:paraId="7FB17F7E" w14:textId="77777777" w:rsidR="000103D8" w:rsidRDefault="00FA71BE">
      <w:pPr>
        <w:spacing w:after="0" w:line="240" w:lineRule="auto"/>
        <w:rPr>
          <w:rFonts w:ascii="Arial" w:eastAsia="Arial" w:hAnsi="Arial" w:cs="Arial"/>
          <w:sz w:val="24"/>
          <w:szCs w:val="24"/>
        </w:rPr>
      </w:pPr>
      <w:r>
        <w:rPr>
          <w:rFonts w:ascii="Arial" w:eastAsia="Arial" w:hAnsi="Arial" w:cs="Arial"/>
          <w:sz w:val="24"/>
          <w:szCs w:val="24"/>
        </w:rPr>
        <w:t xml:space="preserve">Melinda </w:t>
      </w:r>
      <w:proofErr w:type="spellStart"/>
      <w:r>
        <w:rPr>
          <w:rFonts w:ascii="Arial" w:eastAsia="Arial" w:hAnsi="Arial" w:cs="Arial"/>
          <w:sz w:val="24"/>
          <w:szCs w:val="24"/>
        </w:rPr>
        <w:t>Hohman</w:t>
      </w:r>
      <w:proofErr w:type="spellEnd"/>
      <w:r>
        <w:rPr>
          <w:rFonts w:ascii="Arial" w:eastAsia="Arial" w:hAnsi="Arial" w:cs="Arial"/>
          <w:sz w:val="24"/>
          <w:szCs w:val="24"/>
        </w:rPr>
        <w:t>, Ph.D.</w:t>
      </w:r>
    </w:p>
    <w:p w14:paraId="57750247" w14:textId="77777777" w:rsidR="000103D8" w:rsidRDefault="00FA71BE">
      <w:pPr>
        <w:spacing w:after="0" w:line="240" w:lineRule="auto"/>
        <w:rPr>
          <w:rFonts w:ascii="Arial" w:eastAsia="Arial" w:hAnsi="Arial" w:cs="Arial"/>
          <w:sz w:val="24"/>
          <w:szCs w:val="24"/>
        </w:rPr>
      </w:pPr>
      <w:r>
        <w:rPr>
          <w:rFonts w:ascii="Arial" w:eastAsia="Arial" w:hAnsi="Arial" w:cs="Arial"/>
          <w:sz w:val="24"/>
          <w:szCs w:val="24"/>
        </w:rPr>
        <w:t>Director and Professor, SDSU School of Social Work</w:t>
      </w:r>
    </w:p>
    <w:p w14:paraId="3EE54139" w14:textId="77777777" w:rsidR="000103D8" w:rsidRDefault="00FA71BE">
      <w:pPr>
        <w:spacing w:after="0" w:line="240" w:lineRule="auto"/>
        <w:rPr>
          <w:rFonts w:ascii="Arial" w:eastAsia="Arial" w:hAnsi="Arial" w:cs="Arial"/>
          <w:i/>
          <w:sz w:val="24"/>
          <w:szCs w:val="24"/>
        </w:rPr>
      </w:pPr>
      <w:r>
        <w:rPr>
          <w:rFonts w:ascii="Arial" w:eastAsia="Arial" w:hAnsi="Arial" w:cs="Arial"/>
          <w:sz w:val="24"/>
          <w:szCs w:val="24"/>
        </w:rPr>
        <w:t xml:space="preserve">North American Associate Editor, </w:t>
      </w:r>
      <w:r>
        <w:rPr>
          <w:rFonts w:ascii="Arial" w:eastAsia="Arial" w:hAnsi="Arial" w:cs="Arial"/>
          <w:i/>
          <w:sz w:val="24"/>
          <w:szCs w:val="24"/>
        </w:rPr>
        <w:t>British Journal of Social Work</w:t>
      </w:r>
    </w:p>
    <w:p w14:paraId="7C0402F7" w14:textId="77777777" w:rsidR="000103D8" w:rsidRDefault="000103D8">
      <w:pPr>
        <w:spacing w:after="0" w:line="240" w:lineRule="auto"/>
        <w:rPr>
          <w:sz w:val="26"/>
          <w:szCs w:val="26"/>
        </w:rPr>
      </w:pPr>
    </w:p>
    <w:p w14:paraId="40F2C713" w14:textId="77777777" w:rsidR="000103D8" w:rsidRDefault="00FA71BE">
      <w:pPr>
        <w:spacing w:after="0" w:line="240" w:lineRule="auto"/>
        <w:rPr>
          <w:rFonts w:ascii="Arial" w:eastAsia="Arial" w:hAnsi="Arial" w:cs="Arial"/>
          <w:sz w:val="24"/>
          <w:szCs w:val="24"/>
        </w:rPr>
      </w:pPr>
      <w:r>
        <w:rPr>
          <w:rFonts w:ascii="Arial" w:eastAsia="Arial" w:hAnsi="Arial" w:cs="Arial"/>
          <w:sz w:val="24"/>
          <w:szCs w:val="24"/>
        </w:rPr>
        <w:t>Alfredo Aguirre, LCSW</w:t>
      </w:r>
    </w:p>
    <w:p w14:paraId="3CCBFBCB" w14:textId="77777777" w:rsidR="000103D8" w:rsidRDefault="00FA71BE">
      <w:pPr>
        <w:spacing w:after="0" w:line="240" w:lineRule="auto"/>
        <w:rPr>
          <w:rFonts w:ascii="Arial" w:eastAsia="Arial" w:hAnsi="Arial" w:cs="Arial"/>
          <w:sz w:val="24"/>
          <w:szCs w:val="24"/>
        </w:rPr>
      </w:pPr>
      <w:r>
        <w:rPr>
          <w:rFonts w:ascii="Arial" w:eastAsia="Arial" w:hAnsi="Arial" w:cs="Arial"/>
          <w:sz w:val="24"/>
          <w:szCs w:val="24"/>
        </w:rPr>
        <w:t>Director, County of San Diego Behavioral Health Services</w:t>
      </w:r>
    </w:p>
    <w:p w14:paraId="7887770E" w14:textId="77777777" w:rsidR="000103D8" w:rsidRDefault="000103D8">
      <w:pPr>
        <w:spacing w:after="0" w:line="240" w:lineRule="auto"/>
        <w:rPr>
          <w:sz w:val="26"/>
          <w:szCs w:val="26"/>
        </w:rPr>
      </w:pPr>
    </w:p>
    <w:p w14:paraId="7FEF4BE5" w14:textId="77777777" w:rsidR="000103D8" w:rsidRDefault="00FA71BE">
      <w:pPr>
        <w:spacing w:after="0" w:line="240" w:lineRule="auto"/>
        <w:rPr>
          <w:b/>
          <w:sz w:val="26"/>
          <w:szCs w:val="26"/>
        </w:rPr>
      </w:pPr>
      <w:r>
        <w:rPr>
          <w:b/>
          <w:sz w:val="26"/>
          <w:szCs w:val="26"/>
        </w:rPr>
        <w:t>SEE YOU IN JUNE!</w:t>
      </w:r>
    </w:p>
    <w:p w14:paraId="1A3F7B1E" w14:textId="77777777" w:rsidR="000103D8" w:rsidRDefault="00FA71BE">
      <w:pPr>
        <w:spacing w:after="0" w:line="240" w:lineRule="auto"/>
        <w:rPr>
          <w:sz w:val="26"/>
          <w:szCs w:val="26"/>
        </w:rPr>
      </w:pPr>
      <w:r>
        <w:rPr>
          <w:sz w:val="26"/>
          <w:szCs w:val="26"/>
        </w:rPr>
        <w:t>29th Annual Conference Network for Social Work Management</w:t>
      </w:r>
    </w:p>
    <w:p w14:paraId="1062E92C" w14:textId="77777777" w:rsidR="000103D8" w:rsidRDefault="00FA71BE">
      <w:pPr>
        <w:spacing w:after="0"/>
        <w:rPr>
          <w:sz w:val="26"/>
          <w:szCs w:val="26"/>
        </w:rPr>
      </w:pPr>
      <w:r>
        <w:rPr>
          <w:sz w:val="26"/>
          <w:szCs w:val="26"/>
        </w:rPr>
        <w:t>San Diego State University – School of Social Work</w:t>
      </w:r>
    </w:p>
    <w:p w14:paraId="3D97E419" w14:textId="77777777" w:rsidR="000103D8" w:rsidRDefault="00FA71BE">
      <w:pPr>
        <w:spacing w:after="0"/>
        <w:rPr>
          <w:sz w:val="26"/>
          <w:szCs w:val="26"/>
        </w:rPr>
      </w:pPr>
      <w:r>
        <w:rPr>
          <w:sz w:val="26"/>
          <w:szCs w:val="26"/>
        </w:rPr>
        <w:t>San Diego, CA</w:t>
      </w:r>
    </w:p>
    <w:p w14:paraId="071665E2" w14:textId="77777777" w:rsidR="000103D8" w:rsidRDefault="000103D8">
      <w:pPr>
        <w:spacing w:after="0" w:line="240" w:lineRule="auto"/>
        <w:rPr>
          <w:sz w:val="26"/>
          <w:szCs w:val="26"/>
        </w:rPr>
      </w:pPr>
    </w:p>
    <w:sectPr w:rsidR="000103D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C988" w14:textId="77777777" w:rsidR="0035404B" w:rsidRDefault="0035404B">
      <w:pPr>
        <w:spacing w:after="0" w:line="240" w:lineRule="auto"/>
      </w:pPr>
      <w:r>
        <w:separator/>
      </w:r>
    </w:p>
  </w:endnote>
  <w:endnote w:type="continuationSeparator" w:id="0">
    <w:p w14:paraId="7C7A9636" w14:textId="77777777" w:rsidR="0035404B" w:rsidRDefault="0035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6A32" w14:textId="77777777" w:rsidR="000C6F17" w:rsidRDefault="000C6F17">
    <w:pPr>
      <w:tabs>
        <w:tab w:val="center" w:pos="4680"/>
        <w:tab w:val="right" w:pos="9360"/>
      </w:tabs>
      <w:spacing w:after="0" w:line="240" w:lineRule="auto"/>
      <w:jc w:val="right"/>
    </w:pPr>
    <w:r>
      <w:t xml:space="preserve">Page </w:t>
    </w:r>
    <w:r>
      <w:rPr>
        <w:b/>
        <w:sz w:val="24"/>
        <w:szCs w:val="24"/>
      </w:rPr>
      <w:fldChar w:fldCharType="begin"/>
    </w:r>
    <w:r>
      <w:rPr>
        <w:b/>
        <w:sz w:val="24"/>
        <w:szCs w:val="24"/>
      </w:rPr>
      <w:instrText>PAGE</w:instrText>
    </w:r>
    <w:r>
      <w:rPr>
        <w:b/>
        <w:sz w:val="24"/>
        <w:szCs w:val="24"/>
      </w:rPr>
      <w:fldChar w:fldCharType="separate"/>
    </w:r>
    <w:r w:rsidR="0025137B">
      <w:rPr>
        <w:b/>
        <w:noProof/>
        <w:sz w:val="24"/>
        <w:szCs w:val="24"/>
      </w:rPr>
      <w:t>4</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25137B">
      <w:rPr>
        <w:b/>
        <w:noProof/>
        <w:sz w:val="24"/>
        <w:szCs w:val="24"/>
      </w:rPr>
      <w:t>4</w:t>
    </w:r>
    <w:r>
      <w:rPr>
        <w:b/>
        <w:sz w:val="24"/>
        <w:szCs w:val="24"/>
      </w:rPr>
      <w:fldChar w:fldCharType="end"/>
    </w:r>
  </w:p>
  <w:p w14:paraId="32E0C1CD" w14:textId="77777777" w:rsidR="000C6F17" w:rsidRDefault="000C6F1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110A" w14:textId="77777777" w:rsidR="0035404B" w:rsidRDefault="0035404B">
      <w:pPr>
        <w:spacing w:after="0" w:line="240" w:lineRule="auto"/>
      </w:pPr>
      <w:r>
        <w:separator/>
      </w:r>
    </w:p>
  </w:footnote>
  <w:footnote w:type="continuationSeparator" w:id="0">
    <w:p w14:paraId="2CB033CB" w14:textId="77777777" w:rsidR="0035404B" w:rsidRDefault="0035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6C8B" w14:textId="77777777" w:rsidR="000C6F17" w:rsidRDefault="000C6F17">
    <w:pPr>
      <w:tabs>
        <w:tab w:val="center" w:pos="4680"/>
        <w:tab w:val="right" w:pos="9360"/>
      </w:tabs>
      <w:spacing w:after="0" w:line="240" w:lineRule="auto"/>
    </w:pPr>
    <w:r>
      <w:t>The NSWM 2018 Annual Conference</w:t>
    </w:r>
  </w:p>
  <w:p w14:paraId="2F33CADE" w14:textId="77777777" w:rsidR="000C6F17" w:rsidRDefault="000C6F17">
    <w:pPr>
      <w:tabs>
        <w:tab w:val="center" w:pos="4680"/>
        <w:tab w:val="right" w:pos="9360"/>
      </w:tabs>
      <w:spacing w:after="0" w:line="240" w:lineRule="auto"/>
    </w:pPr>
    <w:proofErr w:type="spellStart"/>
    <w:r>
      <w:t>Contact</w:t>
    </w:r>
    <w:proofErr w:type="gramStart"/>
    <w:r>
      <w:t>:</w:t>
    </w:r>
    <w:r>
      <w:rPr>
        <w:rFonts w:ascii="Arial" w:eastAsia="Arial" w:hAnsi="Arial" w:cs="Arial"/>
        <w:color w:val="888888"/>
        <w:sz w:val="19"/>
        <w:szCs w:val="19"/>
        <w:highlight w:val="white"/>
      </w:rPr>
      <w:t>Tom</w:t>
    </w:r>
    <w:proofErr w:type="spellEnd"/>
    <w:proofErr w:type="gramEnd"/>
    <w:r>
      <w:rPr>
        <w:rFonts w:ascii="Arial" w:eastAsia="Arial" w:hAnsi="Arial" w:cs="Arial"/>
        <w:color w:val="888888"/>
        <w:sz w:val="19"/>
        <w:szCs w:val="19"/>
        <w:highlight w:val="white"/>
      </w:rPr>
      <w:t xml:space="preserve"> Packard</w:t>
    </w:r>
    <w:r>
      <w:t xml:space="preserve"> @ </w:t>
    </w:r>
    <w:hyperlink r:id="rId1">
      <w:r>
        <w:rPr>
          <w:rFonts w:ascii="Arial" w:eastAsia="Arial" w:hAnsi="Arial" w:cs="Arial"/>
          <w:color w:val="1155CC"/>
          <w:sz w:val="19"/>
          <w:szCs w:val="19"/>
          <w:highlight w:val="white"/>
          <w:u w:val="single"/>
        </w:rPr>
        <w:t>tpackard@mail.sdsu.edu</w:t>
      </w:r>
    </w:hyperlink>
    <w:r>
      <w:rPr>
        <w:rFonts w:ascii="Arial" w:eastAsia="Arial" w:hAnsi="Arial" w:cs="Arial"/>
        <w:color w:val="555555"/>
        <w:sz w:val="19"/>
        <w:szCs w:val="19"/>
        <w:highlight w:val="white"/>
      </w:rPr>
      <w:t xml:space="preserve"> </w:t>
    </w:r>
    <w:r>
      <w:tab/>
    </w:r>
  </w:p>
  <w:p w14:paraId="70FA6D3A" w14:textId="77777777" w:rsidR="000C6F17" w:rsidRDefault="000C6F17">
    <w:pPr>
      <w:tabs>
        <w:tab w:val="center" w:pos="4680"/>
        <w:tab w:val="right" w:pos="9360"/>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748"/>
    <w:multiLevelType w:val="multilevel"/>
    <w:tmpl w:val="9D52E4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0B1231"/>
    <w:multiLevelType w:val="multilevel"/>
    <w:tmpl w:val="2A7C4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5B43E5"/>
    <w:multiLevelType w:val="multilevel"/>
    <w:tmpl w:val="DFA8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192833"/>
    <w:multiLevelType w:val="multilevel"/>
    <w:tmpl w:val="CE38D57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700260"/>
    <w:multiLevelType w:val="multilevel"/>
    <w:tmpl w:val="926E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735177"/>
    <w:multiLevelType w:val="multilevel"/>
    <w:tmpl w:val="2EC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207C0A"/>
    <w:multiLevelType w:val="multilevel"/>
    <w:tmpl w:val="CC28C3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941CCF"/>
    <w:multiLevelType w:val="multilevel"/>
    <w:tmpl w:val="DA3CC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D8"/>
    <w:rsid w:val="000103D8"/>
    <w:rsid w:val="000C6F17"/>
    <w:rsid w:val="0025137B"/>
    <w:rsid w:val="0035404B"/>
    <w:rsid w:val="003D3B64"/>
    <w:rsid w:val="004357C4"/>
    <w:rsid w:val="005D384A"/>
    <w:rsid w:val="00602D0A"/>
    <w:rsid w:val="007B5AD3"/>
    <w:rsid w:val="00901F03"/>
    <w:rsid w:val="00B84BF4"/>
    <w:rsid w:val="00C1116F"/>
    <w:rsid w:val="00C4629F"/>
    <w:rsid w:val="00CF5FA5"/>
    <w:rsid w:val="00D65330"/>
    <w:rsid w:val="00DC6A53"/>
    <w:rsid w:val="00E85422"/>
    <w:rsid w:val="00F132D9"/>
    <w:rsid w:val="00FA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2B413"/>
  <w15:docId w15:val="{B89CDA69-1D69-4BD1-B0B4-848AF5BD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116F"/>
    <w:rPr>
      <w:b/>
      <w:bCs/>
    </w:rPr>
  </w:style>
  <w:style w:type="character" w:customStyle="1" w:styleId="CommentSubjectChar">
    <w:name w:val="Comment Subject Char"/>
    <w:basedOn w:val="CommentTextChar"/>
    <w:link w:val="CommentSubject"/>
    <w:uiPriority w:val="99"/>
    <w:semiHidden/>
    <w:rsid w:val="00C11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tpackard@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8B51-07DE-4578-8D6C-1DAD397A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2U, Inc.</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Packard</dc:creator>
  <cp:lastModifiedBy>Rosemary Llewellyn</cp:lastModifiedBy>
  <cp:revision>5</cp:revision>
  <cp:lastPrinted>2017-10-18T23:26:00Z</cp:lastPrinted>
  <dcterms:created xsi:type="dcterms:W3CDTF">2017-10-18T22:57:00Z</dcterms:created>
  <dcterms:modified xsi:type="dcterms:W3CDTF">2017-10-18T23:26:00Z</dcterms:modified>
</cp:coreProperties>
</file>